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Heading1"/>
        <w:rPr/>
      </w:pPr>
      <w:r>
        <w:rPr/>
        <w:t>Pokyny pro účastníky</w:t>
      </w:r>
    </w:p>
    <w:p>
      <w:pPr>
        <w:pStyle w:val="Heading2"/>
        <w:rPr/>
      </w:pPr>
      <w:r>
        <w:rPr/>
        <w:t>Přihláška</w:t>
      </w:r>
    </w:p>
    <w:p>
      <w:pPr>
        <w:pStyle w:val="Normal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Přihlášku se vyplňuje online na adrese </w:t>
      </w:r>
      <w:hyperlink r:id="rId2">
        <w:r>
          <w:rPr>
            <w:rStyle w:val="Hyperlink"/>
            <w:bCs/>
            <w:sz w:val="24"/>
            <w:szCs w:val="24"/>
          </w:rPr>
          <w:t>https://tabor.cahik.cz/prihlaska/</w:t>
        </w:r>
      </w:hyperlink>
      <w:r>
        <w:rPr>
          <w:bCs/>
          <w:sz w:val="24"/>
          <w:szCs w:val="24"/>
        </w:rPr>
        <w:t xml:space="preserve">. Přihláška je závazná. E-mailem nebo poštou Vám zašleme pokyny pro provedení platby, pokyny k platbám rozesíláme od konce dubna, pokud přihlašujete dítě dříve, </w:t>
      </w:r>
      <w:r>
        <w:rPr>
          <w:b/>
          <w:sz w:val="24"/>
          <w:szCs w:val="24"/>
        </w:rPr>
        <w:t>dostanete pokyny k zaplacení na konci dubna</w:t>
      </w:r>
      <w:r>
        <w:rPr>
          <w:bCs/>
          <w:sz w:val="24"/>
          <w:szCs w:val="24"/>
        </w:rPr>
        <w:t xml:space="preserve">, </w:t>
      </w:r>
      <w:r>
        <w:rPr>
          <w:b/>
          <w:sz w:val="24"/>
          <w:szCs w:val="24"/>
        </w:rPr>
        <w:t>nebo do 14 dnů od přihlášení dítěte</w:t>
      </w:r>
      <w:r>
        <w:rPr>
          <w:bCs/>
          <w:sz w:val="24"/>
          <w:szCs w:val="24"/>
        </w:rPr>
        <w:t xml:space="preserve">. </w:t>
      </w:r>
    </w:p>
    <w:p>
      <w:pPr>
        <w:pStyle w:val="Heading2"/>
        <w:rPr/>
      </w:pPr>
      <w:r>
        <w:rPr/>
        <w:t>Platba</w:t>
      </w:r>
    </w:p>
    <w:p>
      <w:pPr>
        <w:pStyle w:val="BodyText"/>
        <w:rPr>
          <w:b w:val="false"/>
          <w:szCs w:val="24"/>
        </w:rPr>
      </w:pPr>
      <w:r>
        <w:rPr>
          <w:b w:val="false"/>
          <w:bCs/>
          <w:szCs w:val="24"/>
        </w:rPr>
        <w:t>Po odeslání přihlášky Vám budou zaslány pokyny k úhradě.</w:t>
      </w:r>
      <w:r>
        <w:rPr>
          <w:b w:val="false"/>
          <w:bCs/>
        </w:rPr>
        <w:t xml:space="preserve"> </w:t>
      </w:r>
      <w:r>
        <w:rPr>
          <w:bCs/>
        </w:rPr>
        <w:t xml:space="preserve">V případě potřeby je možno vystavit potvrzení či fakturu. </w:t>
      </w:r>
      <w:r>
        <w:rPr>
          <w:color w:val="FF0000"/>
          <w:szCs w:val="24"/>
        </w:rPr>
        <w:t xml:space="preserve">Žádost o fakturu je třeba řešit s dostatečným časovým předstihem, ideálně ihned při přihlašování dítěte nebo obdržení pokynů pro zaplacení tábora, nejpozději však měsíc před datem zaplacení tábora </w:t>
      </w:r>
      <w:r>
        <w:rPr>
          <w:b w:val="false"/>
          <w:color w:val="FF0000"/>
          <w:szCs w:val="24"/>
        </w:rPr>
        <w:t xml:space="preserve">(tj. do 30. 6.). </w:t>
      </w:r>
      <w:r>
        <w:rPr>
          <w:b w:val="false"/>
          <w:szCs w:val="24"/>
        </w:rPr>
        <w:t>Po tomto datu už nelze faktury vystavovat. Fakturu vystavíme dle vámi poskytnutých údajů a zašleme ji zpět přímo Vám. Její vyřízení se zaměstnavatelem je na vás, není v našich možnostech komunikovat přímo s jednotlivými zaměstnavateli.</w:t>
      </w:r>
    </w:p>
    <w:p>
      <w:pPr>
        <w:pStyle w:val="BodyText"/>
        <w:rPr>
          <w:b w:val="false"/>
          <w:bCs/>
        </w:rPr>
      </w:pPr>
      <w:r>
        <w:rPr>
          <w:b w:val="false"/>
          <w:bCs/>
        </w:rPr>
      </w:r>
    </w:p>
    <w:p>
      <w:pPr>
        <w:pStyle w:val="BodyText"/>
        <w:rPr>
          <w:b w:val="false"/>
          <w:bCs/>
          <w:szCs w:val="24"/>
        </w:rPr>
      </w:pPr>
      <w:r>
        <w:rPr>
          <w:b w:val="false"/>
          <w:bCs/>
          <w:szCs w:val="24"/>
        </w:rPr>
        <w:t>Tábor má omezený počet účastníků. V případě neuhrazení platby v termínu může být přihlášení dítěte zrušeno.</w:t>
      </w:r>
    </w:p>
    <w:p>
      <w:pPr>
        <w:pStyle w:val="BodyText"/>
        <w:rPr>
          <w:b w:val="false"/>
          <w:bCs/>
          <w:szCs w:val="24"/>
        </w:rPr>
      </w:pPr>
      <w:r>
        <w:rPr>
          <w:b w:val="false"/>
          <w:bCs/>
          <w:szCs w:val="24"/>
        </w:rPr>
      </w:r>
    </w:p>
    <w:p>
      <w:pPr>
        <w:pStyle w:val="BodyText"/>
        <w:rPr>
          <w:bCs/>
        </w:rPr>
      </w:pPr>
      <w:r>
        <w:rPr>
          <w:bCs/>
          <w:szCs w:val="24"/>
        </w:rPr>
        <w:t xml:space="preserve">Cena tábora je 3 300 Kč. </w:t>
      </w:r>
      <w:r>
        <w:rPr>
          <w:bCs/>
          <w:color w:val="FF0000"/>
          <w:szCs w:val="24"/>
        </w:rPr>
        <w:t>Platba musí být provedena nejpozději do 31. 7. 202</w:t>
      </w:r>
      <w:r>
        <w:rPr>
          <w:bCs/>
          <w:color w:val="FF0000"/>
          <w:szCs w:val="24"/>
        </w:rPr>
        <w:t>6.</w:t>
      </w:r>
    </w:p>
    <w:p>
      <w:pPr>
        <w:pStyle w:val="Normal"/>
        <w:rPr>
          <w:bCs/>
          <w:sz w:val="24"/>
        </w:rPr>
      </w:pPr>
      <w:r>
        <w:rPr>
          <w:bCs/>
          <w:sz w:val="24"/>
        </w:rPr>
        <w:t xml:space="preserve">V případě odhlášení dítěte činí storno poplatek </w:t>
      </w:r>
      <w:r>
        <w:rPr>
          <w:b/>
          <w:bCs/>
          <w:sz w:val="24"/>
        </w:rPr>
        <w:t>50%</w:t>
      </w:r>
      <w:r>
        <w:rPr>
          <w:bCs/>
          <w:sz w:val="24"/>
        </w:rPr>
        <w:t xml:space="preserve"> z ceny.</w:t>
      </w:r>
    </w:p>
    <w:p>
      <w:pPr>
        <w:pStyle w:val="Heading2"/>
        <w:rPr>
          <w:sz w:val="24"/>
        </w:rPr>
      </w:pPr>
      <w:r>
        <w:rPr/>
        <w:t>Doklady k odevzdání při odjezdu</w:t>
      </w:r>
    </w:p>
    <w:p>
      <w:pPr>
        <w:pStyle w:val="Normal"/>
        <w:jc w:val="both"/>
        <w:rPr>
          <w:sz w:val="24"/>
        </w:rPr>
      </w:pPr>
      <w:r>
        <w:rPr>
          <w:b/>
          <w:sz w:val="24"/>
        </w:rPr>
        <w:t>Posudek o zdravotní způsobilosti dítěte</w:t>
      </w:r>
      <w:r>
        <w:rPr>
          <w:sz w:val="24"/>
        </w:rPr>
        <w:t xml:space="preserve"> (ke stažení na </w:t>
      </w:r>
      <w:hyperlink r:id="rId3">
        <w:r>
          <w:rPr>
            <w:rStyle w:val="Hyperlink"/>
            <w:sz w:val="24"/>
          </w:rPr>
          <w:t>webu</w:t>
        </w:r>
      </w:hyperlink>
      <w:r>
        <w:rPr>
          <w:sz w:val="24"/>
        </w:rPr>
        <w:t xml:space="preserve">) </w:t>
      </w:r>
      <w:r>
        <w:rPr>
          <w:bCs/>
          <w:sz w:val="24"/>
          <w:szCs w:val="24"/>
        </w:rPr>
        <w:t xml:space="preserve">dle Vyhlášky č.422/2013 Sb. Posudek </w:t>
      </w:r>
      <w:r>
        <w:rPr>
          <w:sz w:val="24"/>
        </w:rPr>
        <w:t xml:space="preserve">nesmí být starší 24 měsíců a platí pouze pokud nedošlo ke změně zdravotního stavu dítěte. Po ukončení akce bude vrácen. Jako doklad nestačí zdravotní průkaz dítěte. </w:t>
      </w:r>
    </w:p>
    <w:p>
      <w:pPr>
        <w:pStyle w:val="Normal"/>
        <w:rPr>
          <w:sz w:val="24"/>
        </w:rPr>
      </w:pPr>
      <w:r>
        <w:rPr>
          <w:b/>
          <w:sz w:val="24"/>
        </w:rPr>
        <w:t>Prohlášení o bezinfekčnosti</w:t>
      </w:r>
      <w:r>
        <w:rPr>
          <w:sz w:val="24"/>
        </w:rPr>
        <w:t xml:space="preserve"> (ke stažení na </w:t>
      </w:r>
      <w:hyperlink r:id="rId4">
        <w:r>
          <w:rPr>
            <w:rStyle w:val="Hyperlink"/>
            <w:sz w:val="24"/>
          </w:rPr>
          <w:t>webu</w:t>
        </w:r>
      </w:hyperlink>
      <w:r>
        <w:rPr>
          <w:sz w:val="24"/>
        </w:rPr>
        <w:t>).</w:t>
      </w:r>
    </w:p>
    <w:p>
      <w:pPr>
        <w:pStyle w:val="Title"/>
        <w:overflowPunct w:val="false"/>
        <w:jc w:val="left"/>
        <w:textAlignment w:val="baseline"/>
        <w:rPr>
          <w:sz w:val="24"/>
        </w:rPr>
      </w:pPr>
      <w:r>
        <w:rPr>
          <w:sz w:val="24"/>
        </w:rPr>
        <w:t>Kopie kartičky zdravotní pojišťovny.</w:t>
      </w:r>
    </w:p>
    <w:p>
      <w:pPr>
        <w:pStyle w:val="Title"/>
        <w:overflowPunct w:val="false"/>
        <w:jc w:val="left"/>
        <w:textAlignment w:val="baseline"/>
        <w:rPr>
          <w:sz w:val="24"/>
        </w:rPr>
      </w:pPr>
      <w:r>
        <w:rPr>
          <w:sz w:val="24"/>
        </w:rPr>
      </w:r>
    </w:p>
    <w:p>
      <w:pPr>
        <w:pStyle w:val="Title"/>
        <w:overflowPunct w:val="false"/>
        <w:jc w:val="left"/>
        <w:textAlignment w:val="baseline"/>
        <w:rPr>
          <w:b w:val="false"/>
          <w:sz w:val="24"/>
        </w:rPr>
      </w:pPr>
      <w:r>
        <w:rPr>
          <w:color w:val="FF0000"/>
          <w:sz w:val="24"/>
        </w:rPr>
        <w:t>BEZ TĚCHTO DOKLADŮ NEBUDE DÍTĚ NA TÁBOR PŘIJATO!</w:t>
      </w:r>
    </w:p>
    <w:p>
      <w:pPr>
        <w:pStyle w:val="Title"/>
        <w:overflowPunct w:val="false"/>
        <w:jc w:val="left"/>
        <w:textAlignment w:val="baseline"/>
        <w:rPr>
          <w:color w:val="FF0000"/>
          <w:sz w:val="24"/>
        </w:rPr>
      </w:pPr>
      <w:r>
        <w:rPr>
          <w:color w:val="FF0000"/>
          <w:sz w:val="24"/>
        </w:rPr>
      </w:r>
    </w:p>
    <w:p>
      <w:pPr>
        <w:pStyle w:val="Title"/>
        <w:overflowPunct w:val="false"/>
        <w:jc w:val="left"/>
        <w:textAlignment w:val="baseline"/>
        <w:rPr>
          <w:b w:val="false"/>
          <w:color w:val="FF0000"/>
          <w:sz w:val="24"/>
        </w:rPr>
      </w:pPr>
      <w:r>
        <w:rPr>
          <w:color w:val="FF0000"/>
          <w:sz w:val="24"/>
        </w:rPr>
        <w:t xml:space="preserve">VEŠKERÉ LÉKY MUSÍ BÝT ODEVZDÁNY ZDRAVOTNÍKOVI </w:t>
      </w:r>
    </w:p>
    <w:p>
      <w:pPr>
        <w:pStyle w:val="Heading2"/>
        <w:rPr/>
      </w:pPr>
      <w:r>
        <w:rPr/>
        <w:t>Kontakt na zdravotníka a hlavního vedoucího</w:t>
      </w:r>
    </w:p>
    <w:p>
      <w:pPr>
        <w:pStyle w:val="Normal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Jan Caha, </w:t>
      </w:r>
      <w:hyperlink r:id="rId5">
        <w:r>
          <w:rPr>
            <w:rStyle w:val="Hyperlink"/>
            <w:bCs/>
            <w:sz w:val="24"/>
            <w:szCs w:val="24"/>
          </w:rPr>
          <w:t>tabor@seznam.cz</w:t>
        </w:r>
      </w:hyperlink>
      <w:r>
        <w:rPr>
          <w:bCs/>
          <w:sz w:val="24"/>
          <w:szCs w:val="24"/>
        </w:rPr>
        <w:t>, tel: 737 577 792</w:t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  <w:r>
        <w:br w:type="page"/>
      </w:r>
    </w:p>
    <w:p>
      <w:pPr>
        <w:pStyle w:val="Heading2"/>
        <w:spacing w:before="0" w:after="120"/>
        <w:rPr/>
      </w:pPr>
      <w:r>
        <w:rPr/>
        <w:t>Důležité informace</w:t>
      </w:r>
    </w:p>
    <w:p>
      <w:pPr>
        <w:pStyle w:val="Title"/>
        <w:jc w:val="left"/>
        <w:rPr>
          <w:bCs/>
          <w:sz w:val="24"/>
        </w:rPr>
      </w:pPr>
      <w:r>
        <w:rPr>
          <w:bCs/>
          <w:sz w:val="24"/>
        </w:rPr>
        <w:t xml:space="preserve">Je zakázané brát na tábor řezné a střelné zbraně (nože jakýchkoliv velikostí) a návykové látky (drogy, cigarety, alkohol apod.) a předměty způsobující vznik otevřeného ohně (zápalky, zapalovače apod.) 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Oblečení dejte dětem obnošené. Ať si užijí volného pohybu v přírodě bez obav, že oblečení poškodí.</w:t>
      </w:r>
    </w:p>
    <w:p>
      <w:pPr>
        <w:pStyle w:val="Title"/>
        <w:jc w:val="both"/>
        <w:rPr>
          <w:sz w:val="24"/>
        </w:rPr>
      </w:pPr>
      <w:r>
        <w:rPr>
          <w:b w:val="false"/>
          <w:sz w:val="24"/>
        </w:rPr>
        <w:t>Nedávejte dětem s sebou mobilní telefon (nebudou mít možnost dobití). V případě potřeby je možné kontaktovat dítě přes telefonní číslo zdravotníka (nejlépe v čase 13:00 – 14:00 nebo 18:00 – 19:00 hod.). Rovněž nedávejte velkou částku peněz, zlaté řetízky, náušnice a jiné cenné předměty. Děti jsou ubytovány ve stanech, které se nedají proti krádežím zabezpečit. Neručíme za věci, které dítě nebude mít označené.</w:t>
      </w:r>
    </w:p>
    <w:p>
      <w:pPr>
        <w:pStyle w:val="Title"/>
        <w:jc w:val="both"/>
        <w:rPr>
          <w:sz w:val="24"/>
          <w:u w:val="single"/>
        </w:rPr>
      </w:pPr>
      <w:r>
        <w:rPr>
          <w:sz w:val="24"/>
        </w:rPr>
        <w:t>Vypište případné zvláštnosti zdravotního stavu vašeho dítěte do přihlášky, na sdělení dětí nemůžeme z výchovných důvodů na táboře brát zřetel.</w:t>
      </w:r>
    </w:p>
    <w:p>
      <w:pPr>
        <w:pStyle w:val="Heading2"/>
        <w:rPr/>
      </w:pPr>
      <w:r>
        <w:rPr/>
        <w:t>Tipy co s sebou</w:t>
      </w:r>
    </w:p>
    <w:p>
      <w:pPr>
        <w:pStyle w:val="Title"/>
        <w:jc w:val="left"/>
        <w:rPr>
          <w:bCs/>
          <w:sz w:val="24"/>
        </w:rPr>
      </w:pPr>
      <w:r>
        <w:rPr>
          <w:bCs/>
          <w:sz w:val="24"/>
        </w:rPr>
        <w:t>Je dobré zabalit dítěti věci do kufru (je přehledný a lépe se v něm udržuje pořádek). Věci balte společně s dítětem (zejména mladším), aby vědělo kde co má. Je vhodné dávat dětem věci starší tmavších barev (jsou méně náchylné na ušpinění).</w:t>
      </w:r>
    </w:p>
    <w:p>
      <w:pPr>
        <w:pStyle w:val="Title"/>
        <w:jc w:val="left"/>
        <w:rPr>
          <w:bCs/>
          <w:sz w:val="24"/>
        </w:rPr>
      </w:pPr>
      <w:r>
        <w:rPr>
          <w:bCs/>
          <w:sz w:val="24"/>
        </w:rPr>
      </w:r>
    </w:p>
    <w:p>
      <w:pPr>
        <w:pStyle w:val="Title"/>
        <w:jc w:val="left"/>
        <w:rPr>
          <w:b w:val="false"/>
          <w:bCs/>
          <w:sz w:val="24"/>
        </w:rPr>
      </w:pPr>
      <w:r>
        <w:rPr>
          <w:b w:val="false"/>
          <w:bCs/>
          <w:sz w:val="24"/>
        </w:rPr>
        <w:t>Batoh na záda (na přepravu spacího pytle, svačiny a teplé mikiny)</w:t>
      </w:r>
    </w:p>
    <w:p>
      <w:pPr>
        <w:pStyle w:val="Title"/>
        <w:jc w:val="left"/>
        <w:rPr>
          <w:b w:val="false"/>
          <w:bCs/>
          <w:sz w:val="24"/>
        </w:rPr>
      </w:pPr>
      <w:r>
        <w:rPr>
          <w:b w:val="false"/>
          <w:bCs/>
          <w:sz w:val="24"/>
        </w:rPr>
      </w:r>
    </w:p>
    <w:p>
      <w:pPr>
        <w:pStyle w:val="Title"/>
        <w:jc w:val="left"/>
        <w:rPr>
          <w:b w:val="false"/>
          <w:bCs/>
          <w:sz w:val="24"/>
        </w:rPr>
      </w:pPr>
      <w:r>
        <w:rPr>
          <w:b w:val="false"/>
          <w:bCs/>
          <w:sz w:val="24"/>
        </w:rPr>
        <w:t>Alumatka nebo karimatka (alumatka je skladnější)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spací pytel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starší prostěradlo (do stanu pod spacák)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polštářek, plyšová hračka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sadu větších igelitových sáčků (na špinavé nebo mokré prádlo)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psací potřeby, fixy, sešit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baterka (náhradní baterie)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šicí potřeby, zavírací špendlíky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jídelní miska (ešus), lžíce, hrnek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šátek, kapesníky</w:t>
      </w:r>
    </w:p>
    <w:p>
      <w:pPr>
        <w:pStyle w:val="Title"/>
        <w:jc w:val="left"/>
        <w:rPr>
          <w:sz w:val="24"/>
        </w:rPr>
      </w:pPr>
      <w:r>
        <w:rPr>
          <w:sz w:val="24"/>
        </w:rPr>
        <w:t>pláštěnka (nezbytné !)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teplé pyžamo a ponožky na spaní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spodní prádlo, ponožky (teplé, tenké)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trička s krátkým rukávem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trička s dlouhým rukávem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teplou mikinu, větrovku, oteplenou bundu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tepláky, maskáče, kalhoty do lesa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plavky (</w:t>
      </w:r>
      <w:r>
        <w:rPr>
          <w:sz w:val="24"/>
        </w:rPr>
        <w:t>pro neplavce</w:t>
      </w:r>
      <w:r>
        <w:rPr>
          <w:b w:val="false"/>
          <w:sz w:val="24"/>
        </w:rPr>
        <w:t xml:space="preserve"> jsou vhodné nafukovací rukávky nebo plovací vesty (ne nafukovací kruhy!)</w:t>
      </w:r>
    </w:p>
    <w:p>
      <w:pPr>
        <w:pStyle w:val="Title"/>
        <w:jc w:val="left"/>
        <w:rPr>
          <w:b w:val="false"/>
          <w:sz w:val="24"/>
        </w:rPr>
      </w:pPr>
      <w:r>
        <w:rPr>
          <w:sz w:val="24"/>
        </w:rPr>
        <w:t>bílé tričko</w:t>
      </w:r>
      <w:r>
        <w:rPr>
          <w:b w:val="false"/>
          <w:sz w:val="24"/>
        </w:rPr>
        <w:t>, které může být zničeno (oddílové tričko)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pevné boty – rozchozené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lehká obuv (tenisky)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pantofle nebo sandály k vodě</w:t>
      </w:r>
    </w:p>
    <w:p>
      <w:pPr>
        <w:pStyle w:val="Title"/>
        <w:jc w:val="left"/>
        <w:rPr>
          <w:sz w:val="24"/>
        </w:rPr>
      </w:pPr>
      <w:r>
        <w:rPr>
          <w:sz w:val="24"/>
        </w:rPr>
        <w:t>gumáky (nezbytné !)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2 ručníky (1 na osobní hygienu a 1 na koupání k rybníku)</w:t>
      </w:r>
    </w:p>
    <w:p>
      <w:pPr>
        <w:pStyle w:val="Title"/>
        <w:jc w:val="left"/>
        <w:rPr>
          <w:b w:val="false"/>
          <w:sz w:val="24"/>
        </w:rPr>
      </w:pPr>
      <w:r>
        <w:rPr>
          <w:b w:val="false"/>
          <w:sz w:val="24"/>
        </w:rPr>
        <w:t>hygienické potřeby (mýdlo, pasta a kartáček na zuby, hřeben, toaletní papír, zrcátko, krém na obličej a ruce)</w:t>
      </w:r>
    </w:p>
    <w:p>
      <w:pPr>
        <w:pStyle w:val="Heading2"/>
        <w:spacing w:before="0" w:after="120"/>
        <w:rPr/>
      </w:pPr>
      <w:r>
        <w:rPr/>
        <w:t>Pokyny k odjezdu a návratu</w:t>
      </w:r>
    </w:p>
    <w:p>
      <w:pPr>
        <w:pStyle w:val="Title"/>
        <w:jc w:val="both"/>
        <w:rPr>
          <w:color w:val="0D0D0D"/>
          <w:sz w:val="24"/>
        </w:rPr>
      </w:pPr>
      <w:r>
        <w:rPr>
          <w:b w:val="false"/>
          <w:sz w:val="24"/>
        </w:rPr>
        <w:t xml:space="preserve">Odjezd autobusu  z Vyškova z </w:t>
      </w:r>
      <w:r>
        <w:rPr>
          <w:sz w:val="24"/>
        </w:rPr>
        <w:t>parkoviště u kruhového objezdu</w:t>
      </w:r>
      <w:r>
        <w:rPr>
          <w:b w:val="false"/>
          <w:sz w:val="24"/>
        </w:rPr>
        <w:t xml:space="preserve"> v křížení ulic Křečkovská a Tyršova (naproti Kinu Sokolský dům). </w:t>
      </w:r>
      <w:r>
        <w:rPr>
          <w:color w:val="FF0000"/>
          <w:sz w:val="24"/>
        </w:rPr>
        <w:t xml:space="preserve">Doporučujeme zhruba týden před odjezdem zkontrolovat čas odjezdu na táborovém webu - </w:t>
      </w:r>
      <w:hyperlink r:id="rId6">
        <w:r>
          <w:rPr>
            <w:rStyle w:val="Hyperlink"/>
            <w:sz w:val="24"/>
          </w:rPr>
          <w:t>http://www.tabor.cahik.cz</w:t>
        </w:r>
      </w:hyperlink>
      <w:r>
        <w:rPr>
          <w:color w:val="FF0000"/>
          <w:sz w:val="24"/>
        </w:rPr>
        <w:t xml:space="preserve"> (čas odjezdu se může měnit v závislosti na dopravci). </w:t>
      </w:r>
    </w:p>
    <w:p>
      <w:pPr>
        <w:pStyle w:val="Title"/>
        <w:jc w:val="both"/>
        <w:rPr>
          <w:b w:val="false"/>
          <w:sz w:val="24"/>
        </w:rPr>
      </w:pPr>
      <w:r>
        <w:rPr>
          <w:b w:val="false"/>
          <w:sz w:val="24"/>
        </w:rPr>
      </w:r>
    </w:p>
    <w:p>
      <w:pPr>
        <w:pStyle w:val="Title"/>
        <w:jc w:val="both"/>
        <w:rPr>
          <w:sz w:val="24"/>
        </w:rPr>
      </w:pPr>
      <w:r>
        <w:rPr>
          <w:b w:val="false"/>
          <w:sz w:val="24"/>
        </w:rPr>
        <w:t>Příjezdu bude upřesněn při odjezdu (pravděpodobně kolem 12.00 hod.) na místo odjezdu</w:t>
      </w:r>
      <w:r>
        <w:rPr>
          <w:sz w:val="24"/>
        </w:rPr>
        <w:t>.</w:t>
      </w:r>
    </w:p>
    <w:p>
      <w:pPr>
        <w:pStyle w:val="Title"/>
        <w:jc w:val="left"/>
        <w:rPr>
          <w:sz w:val="28"/>
        </w:rPr>
      </w:pPr>
      <w:r>
        <w:rPr>
          <w:sz w:val="28"/>
        </w:rPr>
      </w:r>
    </w:p>
    <w:p>
      <w:pPr>
        <w:pStyle w:val="Title"/>
        <w:rPr>
          <w:sz w:val="28"/>
        </w:rPr>
      </w:pPr>
      <w:r>
        <w:rPr/>
        <w:drawing>
          <wp:inline distT="0" distB="0" distL="0" distR="0">
            <wp:extent cx="4457700" cy="3459480"/>
            <wp:effectExtent l="0" t="0" r="0" b="0"/>
            <wp:docPr id="1" name="Obrázek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459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nextPage"/>
      <w:pgSz w:w="11906" w:h="16838"/>
      <w:pgMar w:left="720" w:right="720" w:gutter="0" w:header="709" w:top="766" w:footer="709" w:bottom="766"/>
      <w:pgNumType w:fmt="decimal"/>
      <w:formProt w:val="false"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swiss"/>
    <w:pitch w:val="variable"/>
  </w:font>
  <w:font w:name="Garamond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ab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>
        <w:rFonts w:ascii="Garamond" w:hAnsi="Garamond"/>
        <w:b/>
        <w:color w:val="FF0000"/>
        <w:szCs w:val="22"/>
      </w:rPr>
    </w:pPr>
    <w:r>
      <w:drawing>
        <wp:anchor behindDoc="0" distT="0" distB="0" distL="114300" distR="114300" simplePos="0" locked="0" layoutInCell="0" allowOverlap="1" relativeHeight="5">
          <wp:simplePos x="0" y="0"/>
          <wp:positionH relativeFrom="column">
            <wp:posOffset>3810</wp:posOffset>
          </wp:positionH>
          <wp:positionV relativeFrom="paragraph">
            <wp:posOffset>-167640</wp:posOffset>
          </wp:positionV>
          <wp:extent cx="939165" cy="939165"/>
          <wp:effectExtent l="0" t="0" r="0" b="0"/>
          <wp:wrapTight wrapText="bothSides">
            <wp:wrapPolygon edited="0">
              <wp:start x="-6" y="0"/>
              <wp:lineTo x="-6" y="21027"/>
              <wp:lineTo x="21027" y="21027"/>
              <wp:lineTo x="21027" y="0"/>
              <wp:lineTo x="-6" y="0"/>
            </wp:wrapPolygon>
          </wp:wrapTight>
          <wp:docPr id="2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dobe Fangsong Std R" w:cs="Aharoni" w:ascii="Garamond" w:hAnsi="Garamond"/>
        <w:b/>
        <w:color w:val="FF0000"/>
        <w:sz w:val="32"/>
        <w:szCs w:val="32"/>
      </w:rPr>
      <w:t>Tělocvičná jednota Sokol Nemojany</w:t>
    </w:r>
  </w:p>
  <w:p>
    <w:pPr>
      <w:pStyle w:val="Header"/>
      <w:rPr>
        <w:rFonts w:ascii="Garamond" w:hAnsi="Garamond"/>
        <w:b/>
        <w:color w:val="212120"/>
        <w:szCs w:val="22"/>
      </w:rPr>
    </w:pPr>
    <w:r>
      <w:rPr>
        <w:rFonts w:ascii="Garamond" w:hAnsi="Garamond"/>
        <w:b/>
        <w:color w:val="212120"/>
        <w:szCs w:val="22"/>
      </w:rPr>
    </w:r>
  </w:p>
  <w:p>
    <w:pPr>
      <w:pStyle w:val="Header"/>
      <w:jc w:val="right"/>
      <w:rPr>
        <w:rFonts w:ascii="Garamond" w:hAnsi="Garamond" w:eastAsia="Adobe Fangsong Std R" w:cs="Aharoni"/>
        <w:b/>
        <w:color w:val="548DD4"/>
        <w:sz w:val="28"/>
        <w:szCs w:val="28"/>
      </w:rPr>
    </w:pPr>
    <w:hyperlink r:id="rId2">
      <w:r>
        <w:rPr>
          <w:rStyle w:val="Hyperlink"/>
          <w:rFonts w:eastAsia="Adobe Fangsong Std R" w:cs="Aharoni" w:ascii="Garamond" w:hAnsi="Garamond"/>
          <w:b/>
          <w:color w:val="548DD4"/>
          <w:sz w:val="28"/>
          <w:szCs w:val="28"/>
        </w:rPr>
        <w:t>http://tabor.cahik.cz</w:t>
      </w:r>
    </w:hyperlink>
    <w:r>
      <w:rPr>
        <w:rFonts w:eastAsia="Adobe Fangsong Std R" w:cs="Aharoni" w:ascii="Garamond" w:hAnsi="Garamond"/>
        <w:b/>
        <w:color w:val="548DD4"/>
        <w:sz w:val="28"/>
        <w:szCs w:val="28"/>
      </w:rPr>
      <w:t xml:space="preserve">, </w:t>
    </w:r>
    <w:hyperlink r:id="rId3">
      <w:r>
        <w:rPr>
          <w:rStyle w:val="Hyperlink"/>
          <w:rFonts w:eastAsia="Adobe Fangsong Std R" w:cs="Aharoni" w:ascii="Garamond" w:hAnsi="Garamond"/>
          <w:b/>
          <w:color w:val="548DD4"/>
          <w:sz w:val="28"/>
          <w:szCs w:val="28"/>
        </w:rPr>
        <w:t>tabor@cahik.cz</w:t>
      </w:r>
    </w:hyperlink>
    <w:r>
      <w:rPr>
        <w:rFonts w:eastAsia="Adobe Fangsong Std R" w:cs="Aharoni" w:ascii="Garamond" w:hAnsi="Garamond"/>
        <w:b/>
        <w:color w:val="548DD4"/>
        <w:sz w:val="28"/>
        <w:szCs w:val="28"/>
      </w:rPr>
      <w:t>, tel. 737577792</w:t>
    </w:r>
  </w:p>
  <w:p>
    <w:pPr>
      <w:pStyle w:val="Header"/>
      <w:jc w:val="right"/>
      <w:rPr>
        <w:rFonts w:ascii="Garamond" w:hAnsi="Garamond" w:eastAsia="Adobe Fangsong Std R" w:cs="Aharoni"/>
        <w:b/>
        <w:color w:val="548DD4"/>
        <w:sz w:val="28"/>
        <w:szCs w:val="28"/>
      </w:rPr>
    </w:pPr>
    <w:r>
      <w:rPr>
        <w:rFonts w:eastAsia="Adobe Fangsong Std R" w:cs="Aharoni" w:ascii="Garamond" w:hAnsi="Garamond"/>
        <w:b/>
        <w:color w:val="548DD4"/>
        <w:sz w:val="28"/>
        <w:szCs w:val="28"/>
      </w:rPr>
      <w:t>________________________________________________________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>
        <w:rFonts w:ascii="Garamond" w:hAnsi="Garamond"/>
        <w:b/>
        <w:color w:val="FF0000"/>
        <w:szCs w:val="22"/>
      </w:rPr>
    </w:pPr>
    <w:r>
      <w:drawing>
        <wp:anchor behindDoc="0" distT="0" distB="0" distL="114300" distR="114300" simplePos="0" locked="0" layoutInCell="0" allowOverlap="1" relativeHeight="5">
          <wp:simplePos x="0" y="0"/>
          <wp:positionH relativeFrom="column">
            <wp:posOffset>3810</wp:posOffset>
          </wp:positionH>
          <wp:positionV relativeFrom="paragraph">
            <wp:posOffset>-167640</wp:posOffset>
          </wp:positionV>
          <wp:extent cx="939165" cy="939165"/>
          <wp:effectExtent l="0" t="0" r="0" b="0"/>
          <wp:wrapTight wrapText="bothSides">
            <wp:wrapPolygon edited="0">
              <wp:start x="-6" y="0"/>
              <wp:lineTo x="-6" y="21027"/>
              <wp:lineTo x="21027" y="21027"/>
              <wp:lineTo x="21027" y="0"/>
              <wp:lineTo x="-6" y="0"/>
            </wp:wrapPolygon>
          </wp:wrapTight>
          <wp:docPr id="3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dobe Fangsong Std R" w:cs="Aharoni" w:ascii="Garamond" w:hAnsi="Garamond"/>
        <w:b/>
        <w:color w:val="FF0000"/>
        <w:sz w:val="32"/>
        <w:szCs w:val="32"/>
      </w:rPr>
      <w:t>Tělocvičná jednota Sokol Nemojany</w:t>
    </w:r>
  </w:p>
  <w:p>
    <w:pPr>
      <w:pStyle w:val="Header"/>
      <w:rPr>
        <w:rFonts w:ascii="Garamond" w:hAnsi="Garamond"/>
        <w:b/>
        <w:color w:val="212120"/>
        <w:szCs w:val="22"/>
      </w:rPr>
    </w:pPr>
    <w:r>
      <w:rPr>
        <w:rFonts w:ascii="Garamond" w:hAnsi="Garamond"/>
        <w:b/>
        <w:color w:val="212120"/>
        <w:szCs w:val="22"/>
      </w:rPr>
    </w:r>
  </w:p>
  <w:p>
    <w:pPr>
      <w:pStyle w:val="Header"/>
      <w:jc w:val="right"/>
      <w:rPr>
        <w:rFonts w:ascii="Garamond" w:hAnsi="Garamond" w:eastAsia="Adobe Fangsong Std R" w:cs="Aharoni"/>
        <w:b/>
        <w:color w:val="548DD4"/>
        <w:sz w:val="28"/>
        <w:szCs w:val="28"/>
      </w:rPr>
    </w:pPr>
    <w:hyperlink r:id="rId2">
      <w:r>
        <w:rPr>
          <w:rStyle w:val="Hyperlink"/>
          <w:rFonts w:eastAsia="Adobe Fangsong Std R" w:cs="Aharoni" w:ascii="Garamond" w:hAnsi="Garamond"/>
          <w:b/>
          <w:color w:val="548DD4"/>
          <w:sz w:val="28"/>
          <w:szCs w:val="28"/>
        </w:rPr>
        <w:t>http://tabor.cahik.cz</w:t>
      </w:r>
    </w:hyperlink>
    <w:r>
      <w:rPr>
        <w:rFonts w:eastAsia="Adobe Fangsong Std R" w:cs="Aharoni" w:ascii="Garamond" w:hAnsi="Garamond"/>
        <w:b/>
        <w:color w:val="548DD4"/>
        <w:sz w:val="28"/>
        <w:szCs w:val="28"/>
      </w:rPr>
      <w:t xml:space="preserve">, </w:t>
    </w:r>
    <w:hyperlink r:id="rId3">
      <w:r>
        <w:rPr>
          <w:rStyle w:val="Hyperlink"/>
          <w:rFonts w:eastAsia="Adobe Fangsong Std R" w:cs="Aharoni" w:ascii="Garamond" w:hAnsi="Garamond"/>
          <w:b/>
          <w:color w:val="548DD4"/>
          <w:sz w:val="28"/>
          <w:szCs w:val="28"/>
        </w:rPr>
        <w:t>tabor@cahik.cz</w:t>
      </w:r>
    </w:hyperlink>
    <w:r>
      <w:rPr>
        <w:rFonts w:eastAsia="Adobe Fangsong Std R" w:cs="Aharoni" w:ascii="Garamond" w:hAnsi="Garamond"/>
        <w:b/>
        <w:color w:val="548DD4"/>
        <w:sz w:val="28"/>
        <w:szCs w:val="28"/>
      </w:rPr>
      <w:t>, tel. 737577792</w:t>
    </w:r>
  </w:p>
  <w:p>
    <w:pPr>
      <w:pStyle w:val="Header"/>
      <w:jc w:val="right"/>
      <w:rPr>
        <w:rFonts w:ascii="Garamond" w:hAnsi="Garamond" w:eastAsia="Adobe Fangsong Std R" w:cs="Aharoni"/>
        <w:b/>
        <w:color w:val="548DD4"/>
        <w:sz w:val="28"/>
        <w:szCs w:val="28"/>
      </w:rPr>
    </w:pPr>
    <w:r>
      <w:rPr>
        <w:rFonts w:eastAsia="Adobe Fangsong Std R" w:cs="Aharoni" w:ascii="Garamond" w:hAnsi="Garamond"/>
        <w:b/>
        <w:color w:val="548DD4"/>
        <w:sz w:val="28"/>
        <w:szCs w:val="28"/>
      </w:rPr>
      <w:t>________________________________________________________</w:t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SystemFonts/>
  <w:defaultTabStop w:val="708"/>
  <w:mailMerge>
    <w:mainDocumentType w:val="formLetters"/>
    <w:dataType w:val="textFile"/>
    <w:query w:val="SELECT * FROM Addresses.dbo.hromadná korespondence$"/>
  </w:mailMerge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s-CZ" w:eastAsia="cs-CZ" w:bidi="ar-SA"/>
    </w:rPr>
  </w:style>
  <w:style w:type="paragraph" w:styleId="Heading1">
    <w:name w:val="heading 1"/>
    <w:basedOn w:val="Normal"/>
    <w:next w:val="Normal"/>
    <w:qFormat/>
    <w:rsid w:val="00175b32"/>
    <w:pPr>
      <w:keepNext w:val="true"/>
      <w:spacing w:lineRule="auto" w:line="360"/>
      <w:jc w:val="center"/>
      <w:outlineLvl w:val="0"/>
    </w:pPr>
    <w:rPr>
      <w:b/>
      <w:sz w:val="40"/>
    </w:rPr>
  </w:style>
  <w:style w:type="paragraph" w:styleId="Heading2">
    <w:name w:val="heading 2"/>
    <w:basedOn w:val="Normal"/>
    <w:next w:val="Normal"/>
    <w:qFormat/>
    <w:rsid w:val="00175b32"/>
    <w:pPr>
      <w:keepNext w:val="true"/>
      <w:spacing w:before="480" w:after="120"/>
      <w:outlineLvl w:val="1"/>
    </w:pPr>
    <w:rPr>
      <w:b/>
      <w:sz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a76f77"/>
    <w:rPr>
      <w:color w:val="0000FF"/>
      <w:u w:val="single"/>
    </w:rPr>
  </w:style>
  <w:style w:type="character" w:styleId="ZhlavChar" w:customStyle="1">
    <w:name w:val="Záhlaví Char"/>
    <w:basedOn w:val="DefaultParagraphFont"/>
    <w:link w:val="Header"/>
    <w:qFormat/>
    <w:rsid w:val="003e02cb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1d06d0"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jc w:val="both"/>
    </w:pPr>
    <w:rPr>
      <w:b/>
      <w:sz w:val="24"/>
    </w:rPr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itle">
    <w:name w:val="Title"/>
    <w:basedOn w:val="Normal"/>
    <w:qFormat/>
    <w:pPr>
      <w:jc w:val="center"/>
    </w:pPr>
    <w:rPr>
      <w:b/>
      <w:sz w:val="36"/>
    </w:rPr>
  </w:style>
  <w:style w:type="paragraph" w:styleId="BodyText2">
    <w:name w:val="Body Text 2"/>
    <w:basedOn w:val="Normal"/>
    <w:qFormat/>
    <w:pPr/>
    <w:rPr>
      <w:b/>
      <w:bCs/>
      <w:i/>
      <w:iCs/>
      <w:sz w:val="32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ZhlavChar"/>
    <w:rsid w:val="00c83d80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rsid w:val="00c83d80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semiHidden/>
    <w:qFormat/>
    <w:rsid w:val="00c83d80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rsid w:val="00356d9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abor.cahik.cz/prihlaska/" TargetMode="External"/><Relationship Id="rId3" Type="http://schemas.openxmlformats.org/officeDocument/2006/relationships/hyperlink" Target="https://tabor.cahik.cz/zakladni-informace-2/" TargetMode="External"/><Relationship Id="rId4" Type="http://schemas.openxmlformats.org/officeDocument/2006/relationships/hyperlink" Target="https://tabor.cahik.cz/zakladni-informace-2/" TargetMode="External"/><Relationship Id="rId5" Type="http://schemas.openxmlformats.org/officeDocument/2006/relationships/hyperlink" Target="tabor@seznam.cz" TargetMode="External"/><Relationship Id="rId6" Type="http://schemas.openxmlformats.org/officeDocument/2006/relationships/hyperlink" Target="http://www.tabor.cahik.cz/" TargetMode="Externa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http://www.tabor.cahik.cz/" TargetMode="External"/><Relationship Id="rId3" Type="http://schemas.openxmlformats.org/officeDocument/2006/relationships/hyperlink" Target="mailto:tabor@cahik.cz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http://www.tabor.cahik.cz/" TargetMode="External"/><Relationship Id="rId3" Type="http://schemas.openxmlformats.org/officeDocument/2006/relationships/hyperlink" Target="mailto:tabor@cahik.cz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Application>LibreOffice/25.2.3.2$Linux_X86_64 LibreOffice_project/520$Build-2</Application>
  <AppVersion>15.0000</AppVersion>
  <Pages>3</Pages>
  <Words>657</Words>
  <Characters>3913</Characters>
  <CharactersWithSpaces>4523</CharactersWithSpaces>
  <Paragraphs>61</Paragraphs>
  <Company>GEODEZIE BRNO, a.s.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2019-01-13T18:38:00Z</dcterms:created>
  <dc:creator>divize Vyskov</dc:creator>
  <dc:description/>
  <dc:language>cs-CZ</dc:language>
  <cp:lastModifiedBy>Jan Caha</cp:lastModifiedBy>
  <cp:lastPrinted>2007-04-12T08:32:00Z</cp:lastPrinted>
  <dcterms:modified xsi:type="dcterms:W3CDTF">2026-08-12T06:56:09Z</dcterms:modified>
  <cp:revision>21</cp:revision>
  <dc:subject/>
  <dc:title>P ř i h l á š k a    d í t ě t e  na sokolský tábor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